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4"/>
          <w:szCs w:val="34"/>
        </w:rPr>
        <w:t xml:space="preserve">Бизнес-процессы мер государственной поддержки</w:t>
      </w:r>
    </w:p>
    <w:p>
      <w:pPr>
        <w:spacing w:after="40"/>
        <w:jc w:val="center"/>
      </w:pPr>
      <w:r>
        <w:rPr>
          <w:b/>
          <w:bCs/>
          <w:sz w:val="34"/>
          <w:szCs w:val="34"/>
        </w:rPr>
        <w:t xml:space="preserve">туристской отрасли Казахстана</w:t>
      </w:r>
    </w:p>
    <w:p>
      <w:pPr>
        <w:spacing w:after="300"/>
        <w:jc w:val="center"/>
      </w:pPr>
      <w:r>
        <w:rPr>
          <w:i/>
          <w:iCs/>
          <w:color w:val="5f5e5a"/>
          <w:sz w:val="24"/>
          <w:szCs w:val="24"/>
        </w:rPr>
        <w:t xml:space="preserve">Схемы в нотации BPMN 2.0</w:t>
      </w:r>
    </w:p>
    <w:p>
      <w:pPr>
        <w:spacing w:after="120"/>
      </w:pPr>
      <w:r>
        <w:t xml:space="preserve">Схемы построены по 7 системным мерам государственной поддержки, описанным на странице АО «НК «Kazakh Tourism»: </w:t>
      </w:r>
      <w:hyperlink w:history="1" r:id="rIdtwuxe5qx3vzlyikkqfvll">
        <w:r>
          <w:rPr>
            <w:rStyle w:val="Hyperlink"/>
          </w:rPr>
          <w:t xml:space="preserve">qaztourism.kz/ru/about-company/system-measures</w:t>
        </w:r>
      </w:hyperlink>
      <w:r>
        <w:t xml:space="preserve">. Нотация и графические элементы взяты из обзора Comindware: </w:t>
      </w:r>
      <w:hyperlink w:history="1" r:id="rId6azsr13cvwgbcuqukmiyx">
        <w:r>
          <w:rPr>
            <w:rStyle w:val="Hyperlink"/>
          </w:rPr>
          <w:t xml:space="preserve">«Нотация BPMN 2.0: ключевые элементы и описание»</w:t>
        </w:r>
      </w:hyperlink>
      <w:r>
        <w:t xml:space="preserve">.</w:t>
      </w:r>
    </w:p>
    <w:p>
      <w:pPr>
        <w:pStyle w:val="Heading2"/>
        <w:spacing w:after="100" w:before="200"/>
      </w:pPr>
      <w:r>
        <w:rPr>
          <w:b/>
          <w:bCs/>
        </w:rPr>
        <w:t xml:space="preserve">Условные обозначения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E4E2D8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Элемент</w:t>
            </w:r>
          </w:p>
        </w:tc>
        <w:tc>
          <w:tcPr>
            <w:tcW w:type="dxa" w:w="6800"/>
            <w:shd w:fill="E4E2D8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Значение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Пул / дорожка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Прямоугольная область с вертикальной подписью — обозначает границы процесса конкретного участника (заявитель или орган)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Начальное событие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Тонкий зелёный круг — триггер, с которого начинается процесс участника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Событие-сообщение (начальное)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Тонкий зелёный круг с конвертом — процесс запускается получением сообщения из другого пула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Действие (задача)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Прямоугольник со скруглёнными углами, подпись по схеме «глагол + существительное»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Развилка «или/или» (XOR)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Ромб с крестом — единственный из исходящих потоков активируется в зависимости от условия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Конечное событие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Толстый круг — завершение процесса; зелёный контур обозначает благополучный исход, красный — отказ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Поток управления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Сплошная стрелка — соединяет действия, события и развилки строго внутри одного пула</w:t>
            </w:r>
          </w:p>
        </w:tc>
      </w:tr>
      <w:tr>
        <w:tc>
          <w:tcPr>
            <w:tcW w:type="dxa" w:w="3000"/>
          </w:tcPr>
          <w:p>
            <w:pPr>
              <w:spacing w:after="120"/>
            </w:pPr>
            <w:r>
              <w:t xml:space="preserve">Поток сообщений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Пунктирная стрелка — единственный тип потока, которому разрешено пересекать границу пула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Ключевое правило нотации, соблюдённое во всех схемах: </w:t>
      </w:r>
      <w:r>
        <w:t xml:space="preserve">поток управления (сплошная стрелка) не может пересекать границу пула — участники взаимодействуют только через поток сообщений (пунктирная стрелка). Поэтому в каждой схеме заявитель подаёт заявку и завершает свой процесс событием «Заявка подана», а процесс принимающего органа стартует отдельным начальным событием-сообщением «Получена заявка».</w:t>
      </w:r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1. Возмещение затрат на строительство и реконструкцию объектов туристской деятельности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10% от суммы затрат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МИО (местный исполнительный орган)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Возмещение выплачивается после получения предпринимателем акта ввода туробъекта в эксплуатацию. Заявка с пакетом документов подаётся в МИО, который сверяет их и, при соответствии всем требованиям, перечисляет сумму возмещения.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акта о приёмке объекта туристской деятельности в эксплуатацию (форма, утверждённая приказом Министра по инвестициям и развитию РК от 24 апреля 2017 года № 234)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проектной (проектно-сметной) документации по заявленному объекту с положительным заключением экспертизы проектов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Материалы фото- и видеофиксации построенного / реконструированного объекта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Выписка, подтверждающая динамику роста НДС за последние 2 года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Обязательно, кроме неплательщиков НДС, субъектов с деятельностью менее 3 лет и проектов гостиниц 3–5 звёзд по франшизе международных сетей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1. Процесс получения меры поддержки №1</w:t>
      </w:r>
    </w:p>
    <w:p>
      <w:pPr>
        <w:spacing w:after="120"/>
      </w:pPr>
      <w:r>
        <w:t xml:space="preserve">Источник: </w:t>
      </w:r>
      <w:hyperlink w:history="1" r:id="rIdoj9agaar8oe1vwglwsy4o">
        <w:r>
          <w:rPr>
            <w:rStyle w:val="Hyperlink"/>
          </w:rPr>
          <w:t xml:space="preserve">https://adilet.zan.kz/rus/docs/V2100026403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2. Возмещение затрат на приобретение оборудования и техники для горнолыжных курортов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25% от стоимости техники и оборудования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МКС (Министерство культуры и спорта РК)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Возмещаются затраты на канатные дороги, снегогенераторы и ратраки. Заявки принимаются МКС.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подтверждающего приобретение оборудования и техники: электронные счета-фактуры либо договор купли-продажи; при покупке в кредит — кредитный договор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таможенной декларации на товары (из третьих стран, не членов ЕАЭС) или копия заявления о ввозе товаров и уплате косвенных налогов с отметкой налогового органа (п. 2 ст. 530 НК РК)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продавец — иностранный производитель, не использующий ИС ЭСФ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акта приёма-передачи оборудования и техники между продавцом и приобретателем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технических паспортов на оборудование и технику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подтверждающего право собственности или иное законное основание владения горнолыжным курортом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Материалы фото- и видеофиксации приобретённых оборудования и техники после доставки на курорт, а также монтажа и установки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Выписка, подтверждающая динамику роста НДС за последние 2 года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Обязательно, кроме неплательщиков НДС (ст. 99–101 НК РК) и субъектов, действующих менее трёх лет с государственной регистрации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2. Процесс получения меры поддержки №2</w:t>
      </w:r>
    </w:p>
    <w:p>
      <w:pPr>
        <w:spacing w:after="120"/>
      </w:pPr>
      <w:r>
        <w:t xml:space="preserve">Источник: </w:t>
      </w:r>
      <w:hyperlink w:history="1" r:id="rIdvor8psrbwsdqj5msgk7p-">
        <w:r>
          <w:rPr>
            <w:rStyle w:val="Hyperlink"/>
          </w:rPr>
          <w:t xml:space="preserve">https://adilet.zan.kz/rus/docs/V2100026382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3. Возмещение затрат на приобретение туристских автобусов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25% от стоимости транспортного средства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Акимат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Возмещение распространяется на автомобильные транспортные средства вместимостью более 8 мест (без места водителя), приобретённые субъектами туристской деятельности — туроператорами, турагентами, гидами, экскурсоводами. Заявки принимаются акиматами.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Сведения об отсутствии (наличии) задолженности, учёт которой ведётся в органах государственных доходов, на первое число месяца, предшествующего месяцу подачи заявки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свидетельства о регистрации транспортного средства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подтверждающего приобретение ТС: электронные счета-фактуры либо договор купли-продажи; при покупке в кредит — кредитный договор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Таможенная декларация на транспортные средства (из третьих стран, не членов ЕАЭС) или заявление о ввозе товаров и уплате косвенных налогов с отметкой налогового органа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продавец — иностранный производитель, не использующий ИС ЭСФ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Материалы фото- и видеофиксации приобретённого автотранспортного средства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Выписка, подтверждающая динамику роста НДС за последние 2 года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Обязательно, кроме неплательщиков НДС и субъектов с деятельностью менее 3 лет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3. Процесс получения меры поддержки №3</w:t>
      </w:r>
    </w:p>
    <w:p>
      <w:pPr>
        <w:spacing w:after="120"/>
      </w:pPr>
      <w:r>
        <w:t xml:space="preserve">Источник: </w:t>
      </w:r>
      <w:hyperlink w:history="1" r:id="rId8empohaj34hbtevkszlln">
        <w:r>
          <w:rPr>
            <w:rStyle w:val="Hyperlink"/>
          </w:rPr>
          <w:t xml:space="preserve">https://adilet.zan.kz/rus/docs/V2100026380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4. Возмещение затрат на строительство объектов придорожного сервиса (ОПС)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10% от стоимости строительства по заключению экспертизы ПСД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МИО (предположительно, по аналогии с мерой №1)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ОПС — здания и сооружения (мотели, АЗС, пункты питания, СТО и др.), расположенные на придорожной полосе. Размер возмещения — 10% от стоимости строительства, указанной в заключении экспертизы проектно-сметной документации.</w:t>
      </w:r>
    </w:p>
    <w:p>
      <w:pPr>
        <w:spacing w:after="120"/>
      </w:pPr>
      <w:r>
        <w:rPr>
          <w:b/>
          <w:bCs/>
          <w:color w:val="993c1d"/>
        </w:rPr>
        <w:t xml:space="preserve">Внимание: </w:t>
      </w:r>
      <w:r>
        <w:rPr>
          <w:i/>
          <w:iCs/>
          <w:color w:val="993c1d"/>
        </w:rPr>
        <w:t xml:space="preserve">Получатель заявки на справочной странице явно не указан — на схеме по аналогии с мерой №1 показан МИО. Перед использованием стоит сверить с постановлением по ссылке.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Сведения об отсутствии (наличии) задолженности, учёт которой ведётся в органах государственных доходов, на первое число месяца, предшествующего месяцу подачи заявки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акта приёмки объекта в эксплуатацию (форма приказа № 234 от 24 апреля 2017 года)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проектной (проектно-сметной) документации по заявленному ОПС с положительным заключением экспертизы проектов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Выписка, подтверждающая динамику роста НДС за последние 2 года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Обязательно, кроме неплательщиков НДС и субъектов с деятельностью менее 3 лет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4. Процесс получения меры поддержки №4</w:t>
      </w:r>
    </w:p>
    <w:p>
      <w:pPr>
        <w:spacing w:after="120"/>
      </w:pPr>
      <w:r>
        <w:t xml:space="preserve">Источник: </w:t>
      </w:r>
      <w:hyperlink w:history="1" r:id="rIdhtifof94aqhwqp1gahgvu">
        <w:r>
          <w:rPr>
            <w:rStyle w:val="Hyperlink"/>
          </w:rPr>
          <w:t xml:space="preserve">https://adilet.zan.kz/rus/docs/V2100026375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5. Субсидирование туроператоров въездного туризма за иностранного туриста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15 000 тенге за каждого иностранного туриста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МКС (Министерство культуры и спорта РК)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Условия: турпродукт включает воздушную перевозку, проживание не менее 4 дней/3 ночей, регистрацию через «е-Hotel»/«е-Qonaq» и посещение не менее 3 туристских ресурсов.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индивидуального предпринимателя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Сведения об отсутствии (наличии) задолженностей, учёт которых ведётся в органах государственных доходов, полученные на первое число месяца, предшествующего месяцу подачи заявки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партнёрского договора на туристское обслуживание с туроператором-нерезидентом с приложением списка иностранных туристов, заверенного печатью туроператора отправляющей стороны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лицензии на осуществление туроператорской деятельности в сфере въездного и внутреннего туризма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Банковский документ либо фискальный чек об оплате туристского продукта по договору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Руминг-лист с печатью места размещения туристов, в котором проживал иностранный турист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5. Процесс получения меры поддержки №5</w:t>
      </w:r>
    </w:p>
    <w:p>
      <w:pPr>
        <w:spacing w:after="120"/>
      </w:pPr>
      <w:r>
        <w:t xml:space="preserve">Источник: </w:t>
      </w:r>
      <w:hyperlink w:history="1" r:id="rId5gpapnse83khwnn2_lqqn">
        <w:r>
          <w:rPr>
            <w:rStyle w:val="Hyperlink"/>
          </w:rPr>
          <w:t xml:space="preserve">https://adilet.zan.kz/rus/docs/V2100025912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6. Субсидирование содержания санитарно-гигиенических узлов (СГУ)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83 300 тенге ежемесячно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Акимат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СГУ — благоустроенное отдельно стоящее стационарное или передвижное сооружение с раздельными кабинами, доступом для лиц с инвалидностью, расположенное на туристических маршрутах или в составе объекта придорожного сервиса.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субъекта предпринимательства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подтверждающего право собственности или иное законное владение или управление СГУ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Материалы фото- и видеофиксации заявленного СГУ и места его расположения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6. Процесс получения меры поддержки №6</w:t>
      </w:r>
    </w:p>
    <w:p>
      <w:pPr>
        <w:spacing w:after="120"/>
      </w:pPr>
      <w:r>
        <w:t xml:space="preserve">Источник: </w:t>
      </w:r>
      <w:hyperlink w:history="1" r:id="rIdij1yitrb0-gng16yvj3vk">
        <w:r>
          <w:rPr>
            <w:rStyle w:val="Hyperlink"/>
          </w:rPr>
          <w:t xml:space="preserve">https://adilet.zan.kz/rus/docs/V2100025801</w:t>
        </w:r>
      </w:hyperlink>
    </w:p>
    <w:p>
      <w:r>
        <w:br w:type="page"/>
      </w:r>
    </w:p>
    <w:p>
      <w:pPr>
        <w:pStyle w:val="Heading1"/>
        <w:spacing w:after="150" w:before="300"/>
      </w:pPr>
      <w:r>
        <w:rPr>
          <w:b/>
          <w:bCs/>
        </w:rPr>
        <w:t xml:space="preserve">7. Субсидирование билета несовершеннолетнего пассажира при воздушной перевозке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00"/>
      </w:tblGrid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Размер поддержки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100% стоимости авиабилета</w:t>
            </w:r>
          </w:p>
        </w:tc>
      </w:tr>
      <w:tr>
        <w:tc>
          <w:tcPr>
            <w:tcW w:type="dxa" w:w="3000"/>
            <w:shd w:fill="F4F3EF" w:val="clear"/>
          </w:tcPr>
          <w:p>
            <w:pPr>
              <w:spacing w:after="120"/>
            </w:pPr>
            <w:r>
              <w:rPr>
                <w:b/>
                <w:bCs/>
              </w:rPr>
              <w:t xml:space="preserve">Принимающий орган</w:t>
            </w:r>
          </w:p>
        </w:tc>
        <w:tc>
          <w:tcPr>
            <w:tcW w:type="dxa" w:w="6800"/>
          </w:tcPr>
          <w:p>
            <w:pPr>
              <w:spacing w:after="120"/>
            </w:pPr>
            <w:r>
              <w:t xml:space="preserve">АО «НК «Kazakh Tourism»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Субсидируется перелёт ребёнка от 2 до 17 лет включительно внутри страны в составе турпродукта. В отличие от остальных мер, заявку в Kazakh Tourism подаёт туроператор — уже после реализации турпродукта, а не сам турист.</w:t>
      </w:r>
    </w:p>
    <w:p>
      <w:pPr>
        <w:pStyle w:val="Heading2"/>
        <w:spacing w:after="80"/>
      </w:pPr>
      <w:r>
        <w:t xml:space="preserve">Перечень документов к заявке</w:t>
      </w:r>
    </w:p>
    <w:p>
      <w:pPr>
        <w:spacing w:after="120"/>
      </w:pPr>
      <w:r>
        <w:t xml:space="preserve">Пакет прилагается к заявке установленной формы. При неполноте документов орган возвращает пакет в течение 2 рабочих дней с указанием недостающих позиций. Список — по актуальным Правилам (ссылка под схемой).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000"/>
        <w:gridCol w:w="2900"/>
      </w:tblGrid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№</w:t>
            </w:r>
          </w:p>
        </w:tc>
        <w:tc>
          <w:tcPr>
            <w:tcW w:type="dxa" w:w="60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Документ</w:t>
            </w:r>
          </w:p>
        </w:tc>
        <w:tc>
          <w:tcPr>
            <w:tcW w:type="dxa" w:w="2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Обязательность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учредительных документов юридического лица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юридическое лицо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1а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документа, удостоверяющего личность, и копия документа, подтверждающего начало деятельности в качестве ИП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заявитель — физическое лицо / ИП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1б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Нотариально засвидетельствованная доверенность на представление интересов туроператора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заявку подаёт представитель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Сведения об отсутствии (наличии) задолженностей, учёт которых ведётся в органах государственных доходов, на первое число месяца, предшествующего месяцу подачи заявки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Копии билета или электронного билета, маршрутной квитанции и пассажирского купона либо справки-подтверждения об использовании билета авиакомпании на несовершеннолетнего пассажира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разрешения на постоянное жительство в Республике Казахстан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несовершеннолетний пассажир — лицо без гражданства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нотариально засвидетельствованной доверенности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Если несовершеннолетний пассажир перевезён с близким родственником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договора на туристское обслуживание, составленного по типовой форме (приказ Министра по инвестициям и развитию РК от 30 января 2015 года № 81)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Копия лицензии на осуществление туроператорской деятельности в сфере въездного и внутреннего туризма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  <w:tr>
        <w:tc>
          <w:tcPr>
            <w:tcW w:type="dxa" w:w="900"/>
            <w:shd w:fill="F4F3EF" w:val="clear"/>
          </w:tcPr>
          <w:p>
            <w:pPr>
              <w:spacing w:after="80"/>
            </w:pPr>
            <w:r>
              <w:rPr>
                <w:b/>
                <w:bCs/>
              </w:rPr>
              <w:t xml:space="preserve">8</w:t>
            </w:r>
          </w:p>
        </w:tc>
        <w:tc>
          <w:tcPr>
            <w:tcW w:type="dxa" w:w="6000"/>
          </w:tcPr>
          <w:p>
            <w:pPr>
              <w:spacing w:after="80"/>
            </w:pPr>
            <w:r>
              <w:t xml:space="preserve">Сведения о предоставлении туристских услуг для несовершеннолетних пассажиров по форме приложения 2 к Правилам</w:t>
            </w:r>
          </w:p>
        </w:tc>
        <w:tc>
          <w:tcPr>
            <w:tcW w:type="dxa" w:w="2900"/>
          </w:tcPr>
          <w:p>
            <w:pPr>
              <w:spacing w:after="80"/>
            </w:pPr>
            <w:r>
              <w:t xml:space="preserve">Обязательно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t xml:space="preserve"/>
      </w:r>
    </w:p>
    <w:p>
      <w:pPr>
        <w:jc w:val="center"/>
      </w:pPr>
      <w:r>
        <w:drawing>
          <wp:inline distT="0" distB="0" distL="0" distR="0">
            <wp:extent cx="5238750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i/>
          <w:iCs/>
          <w:color w:val="5f5e5a"/>
          <w:sz w:val="18"/>
          <w:szCs w:val="18"/>
        </w:rPr>
        <w:t xml:space="preserve">Рисунок 7. Процесс получения меры поддержки №7</w:t>
      </w:r>
    </w:p>
    <w:p>
      <w:pPr>
        <w:spacing w:after="120"/>
      </w:pPr>
      <w:r>
        <w:t xml:space="preserve">Источник: </w:t>
      </w:r>
      <w:hyperlink w:history="1" r:id="rIdcpqkhkfmqapf3tmrupgy5">
        <w:r>
          <w:rPr>
            <w:rStyle w:val="Hyperlink"/>
          </w:rPr>
          <w:t xml:space="preserve">https://adilet.zan.kz/rus/docs/V2100025724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wuxe5qx3vzlyikkqfvll" Type="http://schemas.openxmlformats.org/officeDocument/2006/relationships/hyperlink" Target="https://qaztourism.kz/ru/about-company/system-measures/" TargetMode="External"/><Relationship Id="rId6azsr13cvwgbcuqukmiyx" Type="http://schemas.openxmlformats.org/officeDocument/2006/relationships/hyperlink" Target="https://www.comindware.ru/blog/&#1085;&#1086;&#1090;&#1072;&#1094;&#1080;&#1103;-bpmn-2-0-&#1101;&#1083;&#1077;&#1084;&#1077;&#1085;&#1090;&#1099;-&#1080;-&#1086;&#1087;&#1080;&#1089;&#1072;&#1085;&#1080;&#1077;/" TargetMode="External"/><Relationship Id="rIdoj9agaar8oe1vwglwsy4o" Type="http://schemas.openxmlformats.org/officeDocument/2006/relationships/hyperlink" Target="https://adilet.zan.kz/rus/docs/V2100026403" TargetMode="External"/><Relationship Id="rIdvor8psrbwsdqj5msgk7p-" Type="http://schemas.openxmlformats.org/officeDocument/2006/relationships/hyperlink" Target="https://adilet.zan.kz/rus/docs/V2100026382" TargetMode="External"/><Relationship Id="rId8empohaj34hbtevkszlln" Type="http://schemas.openxmlformats.org/officeDocument/2006/relationships/hyperlink" Target="https://adilet.zan.kz/rus/docs/V2100026380" TargetMode="External"/><Relationship Id="rIdhtifof94aqhwqp1gahgvu" Type="http://schemas.openxmlformats.org/officeDocument/2006/relationships/hyperlink" Target="https://adilet.zan.kz/rus/docs/V2100026375" TargetMode="External"/><Relationship Id="rId5gpapnse83khwnn2_lqqn" Type="http://schemas.openxmlformats.org/officeDocument/2006/relationships/hyperlink" Target="https://adilet.zan.kz/rus/docs/V2100025912" TargetMode="External"/><Relationship Id="rIdij1yitrb0-gng16yvj3vk" Type="http://schemas.openxmlformats.org/officeDocument/2006/relationships/hyperlink" Target="https://adilet.zan.kz/rus/docs/V2100025801" TargetMode="External"/><Relationship Id="rIdcpqkhkfmqapf3tmrupgy5" Type="http://schemas.openxmlformats.org/officeDocument/2006/relationships/hyperlink" Target="https://adilet.zan.kz/rus/docs/V2100025724" TargetMode="External"/><Relationship Id="rId7" Type="http://schemas.openxmlformats.org/officeDocument/2006/relationships/image" Target="media/0c65b778e247a27ff4c781723cb98abd712e1a69.png"/><Relationship Id="rId8" Type="http://schemas.openxmlformats.org/officeDocument/2006/relationships/image" Target="media/fb9e53e52203f0faa19fc9b50889d8c0469447cc.png"/><Relationship Id="rId9" Type="http://schemas.openxmlformats.org/officeDocument/2006/relationships/image" Target="media/6a0bd8d2e4be7bca4c2a73e91eb23a318b623cc5.png"/><Relationship Id="rId10" Type="http://schemas.openxmlformats.org/officeDocument/2006/relationships/image" Target="media/712f196791e1b0cf5abc40b3788bfb8448a9987e.png"/><Relationship Id="rId11" Type="http://schemas.openxmlformats.org/officeDocument/2006/relationships/image" Target="media/dd3798ef7dee9d16e13378cd25c272b434d8cfef.png"/><Relationship Id="rId12" Type="http://schemas.openxmlformats.org/officeDocument/2006/relationships/image" Target="media/116009204d97ec143b84508e31f5e53e2307be1a.png"/><Relationship Id="rId13" Type="http://schemas.openxmlformats.org/officeDocument/2006/relationships/image" Target="media/560704bc20bdc9f21ae6edf8a7cb2aff17f2e587.png"/><Relationship Id="rId2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2026-08-31T06:08:02.496Z</dcterms:created>
  <dcterms:modified xsi:type="dcterms:W3CDTF">2026-08-31T06:08:02.509Z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